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25" w:type="dxa"/>
        <w:tblInd w:w="-590" w:type="dxa"/>
        <w:tblLook w:val="04A0" w:firstRow="1" w:lastRow="0" w:firstColumn="1" w:lastColumn="0" w:noHBand="0" w:noVBand="1"/>
      </w:tblPr>
      <w:tblGrid>
        <w:gridCol w:w="10525"/>
      </w:tblGrid>
      <w:tr w:rsidR="00617F06" w14:paraId="0D70EBC8" w14:textId="77777777" w:rsidTr="00617F06">
        <w:trPr>
          <w:trHeight w:val="2159"/>
        </w:trPr>
        <w:tc>
          <w:tcPr>
            <w:tcW w:w="10525" w:type="dxa"/>
          </w:tcPr>
          <w:p w14:paraId="6E8FC323" w14:textId="77777777" w:rsidR="00617F06" w:rsidRDefault="00617F06">
            <w:pPr>
              <w:rPr>
                <w:sz w:val="48"/>
                <w:szCs w:val="48"/>
              </w:rPr>
            </w:pPr>
            <w:r w:rsidRPr="00617F06">
              <w:rPr>
                <w:sz w:val="36"/>
                <w:szCs w:val="36"/>
              </w:rPr>
              <w:t xml:space="preserve">                                </w:t>
            </w:r>
            <w:r w:rsidRPr="00617F06">
              <w:rPr>
                <w:sz w:val="48"/>
                <w:szCs w:val="48"/>
              </w:rPr>
              <w:t xml:space="preserve">Service Level Agreement </w:t>
            </w:r>
          </w:p>
          <w:p w14:paraId="1FB48E6B" w14:textId="77777777" w:rsidR="00EF7CDB" w:rsidRDefault="00EF7CDB">
            <w:pPr>
              <w:rPr>
                <w:sz w:val="36"/>
                <w:szCs w:val="36"/>
              </w:rPr>
            </w:pPr>
          </w:p>
          <w:p w14:paraId="128B84C3" w14:textId="53093890" w:rsidR="00617F06" w:rsidRPr="00617F06" w:rsidRDefault="00617F06">
            <w:pPr>
              <w:rPr>
                <w:sz w:val="40"/>
                <w:szCs w:val="40"/>
              </w:rPr>
            </w:pPr>
            <w:r w:rsidRPr="00617F06">
              <w:rPr>
                <w:sz w:val="36"/>
                <w:szCs w:val="36"/>
              </w:rPr>
              <w:t xml:space="preserve">      </w:t>
            </w:r>
            <w:r w:rsidRPr="00617F06">
              <w:rPr>
                <w:sz w:val="40"/>
                <w:szCs w:val="40"/>
              </w:rPr>
              <w:t xml:space="preserve">Hospital Based Services and </w:t>
            </w:r>
            <w:r w:rsidR="0029084D">
              <w:rPr>
                <w:sz w:val="40"/>
                <w:szCs w:val="40"/>
              </w:rPr>
              <w:t>Podiatry</w:t>
            </w:r>
            <w:r w:rsidR="00EF7CDB">
              <w:rPr>
                <w:sz w:val="40"/>
                <w:szCs w:val="40"/>
              </w:rPr>
              <w:t xml:space="preserve"> </w:t>
            </w:r>
            <w:r w:rsidRPr="00617F06">
              <w:rPr>
                <w:sz w:val="40"/>
                <w:szCs w:val="40"/>
              </w:rPr>
              <w:t>Department</w:t>
            </w:r>
          </w:p>
        </w:tc>
      </w:tr>
    </w:tbl>
    <w:p w14:paraId="40122150" w14:textId="77777777" w:rsidR="00D229CC" w:rsidRDefault="0031321A"/>
    <w:p w14:paraId="1294C2BF" w14:textId="77777777" w:rsidR="00617F06" w:rsidRPr="00225880" w:rsidRDefault="00617F06">
      <w:pPr>
        <w:rPr>
          <w:b/>
          <w:sz w:val="28"/>
          <w:szCs w:val="28"/>
        </w:rPr>
      </w:pPr>
      <w:r w:rsidRPr="00225880">
        <w:rPr>
          <w:b/>
          <w:sz w:val="28"/>
          <w:szCs w:val="28"/>
        </w:rPr>
        <w:t>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7F06" w14:paraId="579697C9" w14:textId="77777777" w:rsidTr="00617F06">
        <w:tc>
          <w:tcPr>
            <w:tcW w:w="3116" w:type="dxa"/>
          </w:tcPr>
          <w:p w14:paraId="6FFFD434" w14:textId="77777777" w:rsidR="00617F06" w:rsidRDefault="00617F06">
            <w:r>
              <w:t>Version</w:t>
            </w:r>
          </w:p>
        </w:tc>
        <w:tc>
          <w:tcPr>
            <w:tcW w:w="3117" w:type="dxa"/>
          </w:tcPr>
          <w:p w14:paraId="447CBF48" w14:textId="41F04D8F" w:rsidR="00617F06" w:rsidRDefault="0031321A">
            <w:r>
              <w:t xml:space="preserve">Effective </w:t>
            </w:r>
            <w:r w:rsidR="00617F06">
              <w:t xml:space="preserve">Date </w:t>
            </w:r>
          </w:p>
        </w:tc>
        <w:tc>
          <w:tcPr>
            <w:tcW w:w="3117" w:type="dxa"/>
          </w:tcPr>
          <w:p w14:paraId="00C318AF" w14:textId="77777777" w:rsidR="00617F06" w:rsidRDefault="00617F06">
            <w:r>
              <w:t>Description</w:t>
            </w:r>
          </w:p>
        </w:tc>
      </w:tr>
      <w:tr w:rsidR="00617F06" w14:paraId="71B9AA45" w14:textId="77777777" w:rsidTr="00617F06">
        <w:tc>
          <w:tcPr>
            <w:tcW w:w="3116" w:type="dxa"/>
          </w:tcPr>
          <w:p w14:paraId="4749EC49" w14:textId="77777777" w:rsidR="00617F06" w:rsidRDefault="00617F06">
            <w:r>
              <w:t>1.0</w:t>
            </w:r>
          </w:p>
        </w:tc>
        <w:tc>
          <w:tcPr>
            <w:tcW w:w="3117" w:type="dxa"/>
          </w:tcPr>
          <w:p w14:paraId="79FA91E5" w14:textId="301E4681" w:rsidR="00617F06" w:rsidRDefault="0031321A">
            <w:r>
              <w:t>11/1/2019</w:t>
            </w:r>
          </w:p>
        </w:tc>
        <w:tc>
          <w:tcPr>
            <w:tcW w:w="3117" w:type="dxa"/>
          </w:tcPr>
          <w:p w14:paraId="1CBBF52E" w14:textId="77777777" w:rsidR="00617F06" w:rsidRDefault="00225880">
            <w:r>
              <w:t>Service Level   Agreement</w:t>
            </w:r>
          </w:p>
        </w:tc>
      </w:tr>
      <w:tr w:rsidR="00617F06" w14:paraId="274C32AC" w14:textId="77777777" w:rsidTr="00617F06">
        <w:tc>
          <w:tcPr>
            <w:tcW w:w="3116" w:type="dxa"/>
          </w:tcPr>
          <w:p w14:paraId="7AC5FA9F" w14:textId="77777777" w:rsidR="00617F06" w:rsidRDefault="00617F06"/>
        </w:tc>
        <w:tc>
          <w:tcPr>
            <w:tcW w:w="3117" w:type="dxa"/>
          </w:tcPr>
          <w:p w14:paraId="182C92C9" w14:textId="77777777" w:rsidR="00617F06" w:rsidRDefault="00617F06"/>
        </w:tc>
        <w:tc>
          <w:tcPr>
            <w:tcW w:w="3117" w:type="dxa"/>
          </w:tcPr>
          <w:p w14:paraId="0107E797" w14:textId="77777777" w:rsidR="00617F06" w:rsidRDefault="00617F06"/>
        </w:tc>
      </w:tr>
    </w:tbl>
    <w:p w14:paraId="3140A769" w14:textId="77777777" w:rsidR="00617F06" w:rsidRDefault="00617F06"/>
    <w:p w14:paraId="2F8C2A25" w14:textId="77777777" w:rsidR="00225880" w:rsidRDefault="00225880">
      <w:r>
        <w:t xml:space="preserve">This agreement represents a service level agreement between hospital-based services and podiatry department for the purpose of providing high-quality and efficient care to our patients through a collaborative approach.  </w:t>
      </w:r>
      <w:bookmarkStart w:id="0" w:name="_GoBack"/>
      <w:bookmarkEnd w:id="0"/>
    </w:p>
    <w:p w14:paraId="4CFAEEA2" w14:textId="165139ED" w:rsidR="00225880" w:rsidRPr="004348A6" w:rsidRDefault="00225880">
      <w:r>
        <w:t>This agreement remains valid until superseded by revised agreements mutually agreed upon by stakeholders.</w:t>
      </w:r>
    </w:p>
    <w:p w14:paraId="51A19095" w14:textId="77777777" w:rsidR="00225880" w:rsidRPr="00225880" w:rsidRDefault="00225880">
      <w:pPr>
        <w:rPr>
          <w:b/>
          <w:sz w:val="32"/>
          <w:szCs w:val="32"/>
        </w:rPr>
      </w:pPr>
      <w:r w:rsidRPr="00225880">
        <w:rPr>
          <w:b/>
          <w:sz w:val="32"/>
          <w:szCs w:val="32"/>
        </w:rPr>
        <w:t>Goal</w:t>
      </w:r>
    </w:p>
    <w:p w14:paraId="3E34907A" w14:textId="77777777" w:rsidR="00225880" w:rsidRDefault="00225880">
      <w:r>
        <w:t>To ensure that commitments are in place to provide consistent supports across both service lines.</w:t>
      </w:r>
    </w:p>
    <w:p w14:paraId="019764D4" w14:textId="458158E3" w:rsidR="00225880" w:rsidRDefault="00225880">
      <w:r>
        <w:t>Provide clear reference to service ownership, accountability and clear delineation of roles and responsibilities of all parties.</w:t>
      </w:r>
    </w:p>
    <w:p w14:paraId="0E3BD170" w14:textId="5F66215C" w:rsidR="000C4BEB" w:rsidRDefault="000C4BEB">
      <w:r>
        <w:t>Ensure that our patients</w:t>
      </w:r>
      <w:r w:rsidR="002C7992">
        <w:t xml:space="preserve"> have a</w:t>
      </w:r>
      <w:r w:rsidR="001850CE">
        <w:t xml:space="preserve"> great care experience </w:t>
      </w:r>
      <w:r w:rsidR="006E02D4">
        <w:t>during the course of their treatment.</w:t>
      </w:r>
    </w:p>
    <w:p w14:paraId="2803B797" w14:textId="77777777" w:rsidR="00225880" w:rsidRDefault="00225880"/>
    <w:p w14:paraId="2E8AA1D2" w14:textId="112EABD7" w:rsidR="00605880" w:rsidRPr="009019D6" w:rsidRDefault="00225880">
      <w:pPr>
        <w:rPr>
          <w:b/>
          <w:sz w:val="28"/>
          <w:szCs w:val="28"/>
        </w:rPr>
      </w:pPr>
      <w:r w:rsidRPr="009019D6">
        <w:rPr>
          <w:b/>
          <w:sz w:val="28"/>
          <w:szCs w:val="28"/>
        </w:rPr>
        <w:t>Scope of Service</w:t>
      </w:r>
      <w:r w:rsidR="009019D6" w:rsidRPr="009019D6">
        <w:rPr>
          <w:b/>
          <w:sz w:val="28"/>
          <w:szCs w:val="28"/>
        </w:rPr>
        <w:t xml:space="preserve">- </w:t>
      </w:r>
      <w:r w:rsidRPr="009019D6">
        <w:rPr>
          <w:b/>
          <w:sz w:val="28"/>
          <w:szCs w:val="28"/>
        </w:rPr>
        <w:t xml:space="preserve">The Hospital based Services </w:t>
      </w:r>
    </w:p>
    <w:p w14:paraId="34E3B266" w14:textId="04AEB070" w:rsidR="00605880" w:rsidRDefault="00605880" w:rsidP="009019D6">
      <w:pPr>
        <w:pStyle w:val="ListParagraph"/>
        <w:numPr>
          <w:ilvl w:val="0"/>
          <w:numId w:val="2"/>
        </w:numPr>
      </w:pPr>
      <w:r>
        <w:t>O</w:t>
      </w:r>
      <w:r w:rsidR="00225880">
        <w:t xml:space="preserve">ptimizing clinical condition of patients prior to any planned procedure including but not limited to </w:t>
      </w:r>
      <w:r>
        <w:t>hemodynamic stability</w:t>
      </w:r>
      <w:r w:rsidR="00225880">
        <w:t xml:space="preserve">, correction of lab abnormalities, management of anticoagulation pre and post </w:t>
      </w:r>
      <w:r w:rsidR="00EF7CDB">
        <w:t>procedure</w:t>
      </w:r>
      <w:r w:rsidR="00927C1F">
        <w:t>.</w:t>
      </w:r>
    </w:p>
    <w:p w14:paraId="4C4BE32A" w14:textId="6B13F63D" w:rsidR="00605880" w:rsidRDefault="00605880" w:rsidP="009019D6">
      <w:pPr>
        <w:pStyle w:val="ListParagraph"/>
        <w:numPr>
          <w:ilvl w:val="0"/>
          <w:numId w:val="2"/>
        </w:numPr>
      </w:pPr>
      <w:r>
        <w:t>M</w:t>
      </w:r>
      <w:r w:rsidR="00225880">
        <w:t xml:space="preserve">aintaining </w:t>
      </w:r>
      <w:r w:rsidR="001E16DA">
        <w:t>open communication</w:t>
      </w:r>
      <w:r w:rsidR="00225880">
        <w:t xml:space="preserve"> </w:t>
      </w:r>
      <w:r w:rsidR="00515CE1">
        <w:t>across both service lines</w:t>
      </w:r>
      <w:r w:rsidR="00560E94">
        <w:t xml:space="preserve"> on a regular basis</w:t>
      </w:r>
    </w:p>
    <w:p w14:paraId="018169F8" w14:textId="77777777" w:rsidR="00225880" w:rsidRDefault="00225880" w:rsidP="00225880">
      <w:pPr>
        <w:ind w:left="2880"/>
        <w:rPr>
          <w:b/>
          <w:sz w:val="32"/>
          <w:szCs w:val="32"/>
        </w:rPr>
      </w:pPr>
    </w:p>
    <w:p w14:paraId="74C97A37" w14:textId="7DC80637" w:rsidR="00225880" w:rsidRDefault="009019D6" w:rsidP="004348A6">
      <w:pPr>
        <w:rPr>
          <w:b/>
          <w:sz w:val="28"/>
          <w:szCs w:val="28"/>
        </w:rPr>
      </w:pPr>
      <w:r w:rsidRPr="009019D6">
        <w:rPr>
          <w:b/>
          <w:sz w:val="28"/>
          <w:szCs w:val="28"/>
        </w:rPr>
        <w:t>Scope of Service-</w:t>
      </w:r>
      <w:r w:rsidR="00927C1F">
        <w:rPr>
          <w:b/>
          <w:sz w:val="28"/>
          <w:szCs w:val="28"/>
        </w:rPr>
        <w:t xml:space="preserve"> </w:t>
      </w:r>
      <w:r w:rsidR="0029084D">
        <w:rPr>
          <w:b/>
          <w:sz w:val="28"/>
          <w:szCs w:val="28"/>
        </w:rPr>
        <w:t>Podiatry</w:t>
      </w:r>
    </w:p>
    <w:p w14:paraId="7DA36882" w14:textId="5C516B61" w:rsidR="000A547E" w:rsidRPr="000A547E" w:rsidRDefault="000A547E" w:rsidP="000A547E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0A547E">
        <w:rPr>
          <w:bCs/>
          <w:sz w:val="24"/>
          <w:szCs w:val="24"/>
        </w:rPr>
        <w:t xml:space="preserve">To address all foot and ankle pathology that needs inpatient care via operative and/or nonoperative intervention.  </w:t>
      </w:r>
    </w:p>
    <w:p w14:paraId="3A914B4B" w14:textId="22A0BF58" w:rsidR="000A547E" w:rsidRPr="000A547E" w:rsidRDefault="000A547E" w:rsidP="000A547E">
      <w:pPr>
        <w:pStyle w:val="ListParagraph"/>
        <w:numPr>
          <w:ilvl w:val="0"/>
          <w:numId w:val="15"/>
        </w:numPr>
        <w:rPr>
          <w:b/>
          <w:sz w:val="24"/>
          <w:szCs w:val="24"/>
        </w:rPr>
      </w:pPr>
      <w:r w:rsidRPr="000A547E">
        <w:rPr>
          <w:bCs/>
          <w:sz w:val="24"/>
          <w:szCs w:val="24"/>
        </w:rPr>
        <w:lastRenderedPageBreak/>
        <w:t xml:space="preserve">Maintaining clear communication with our HBS colleagues on a consistent basis with patient centered </w:t>
      </w:r>
      <w:r>
        <w:rPr>
          <w:bCs/>
          <w:sz w:val="24"/>
          <w:szCs w:val="24"/>
        </w:rPr>
        <w:t xml:space="preserve">care </w:t>
      </w:r>
      <w:r w:rsidRPr="000A547E">
        <w:rPr>
          <w:bCs/>
          <w:sz w:val="24"/>
          <w:szCs w:val="24"/>
        </w:rPr>
        <w:t xml:space="preserve">in mind.  </w:t>
      </w:r>
    </w:p>
    <w:p w14:paraId="33C7B46C" w14:textId="77777777" w:rsidR="004348A6" w:rsidRPr="004348A6" w:rsidRDefault="004348A6" w:rsidP="004348A6">
      <w:pPr>
        <w:rPr>
          <w:b/>
          <w:sz w:val="28"/>
          <w:szCs w:val="28"/>
        </w:rPr>
      </w:pPr>
    </w:p>
    <w:p w14:paraId="4349C4DF" w14:textId="77777777" w:rsidR="0083005A" w:rsidRDefault="0083005A" w:rsidP="00225880">
      <w:pPr>
        <w:ind w:left="2880"/>
        <w:rPr>
          <w:b/>
          <w:sz w:val="32"/>
          <w:szCs w:val="32"/>
        </w:rPr>
      </w:pPr>
      <w:bookmarkStart w:id="1" w:name="_Hlk13811812"/>
    </w:p>
    <w:p w14:paraId="04712694" w14:textId="2125D42F" w:rsidR="00225880" w:rsidRPr="00225880" w:rsidRDefault="00225880" w:rsidP="00225880">
      <w:pPr>
        <w:ind w:left="2880"/>
        <w:rPr>
          <w:b/>
          <w:sz w:val="32"/>
          <w:szCs w:val="32"/>
        </w:rPr>
      </w:pPr>
      <w:r w:rsidRPr="00225880">
        <w:rPr>
          <w:b/>
          <w:sz w:val="32"/>
          <w:szCs w:val="32"/>
        </w:rPr>
        <w:t>Scope of service</w:t>
      </w:r>
    </w:p>
    <w:p w14:paraId="042F2DA6" w14:textId="0B024DE1" w:rsidR="00225880" w:rsidRDefault="00225880" w:rsidP="004348A6">
      <w:pPr>
        <w:ind w:left="720" w:firstLine="720"/>
      </w:pPr>
      <w:r>
        <w:t>The following services are covered under this agreement</w:t>
      </w:r>
    </w:p>
    <w:tbl>
      <w:tblPr>
        <w:tblStyle w:val="TableGrid"/>
        <w:tblW w:w="9932" w:type="dxa"/>
        <w:tblLook w:val="04A0" w:firstRow="1" w:lastRow="0" w:firstColumn="1" w:lastColumn="0" w:noHBand="0" w:noVBand="1"/>
      </w:tblPr>
      <w:tblGrid>
        <w:gridCol w:w="2515"/>
        <w:gridCol w:w="5400"/>
        <w:gridCol w:w="2017"/>
      </w:tblGrid>
      <w:tr w:rsidR="009336D1" w14:paraId="487E1C72" w14:textId="77777777" w:rsidTr="004348A6">
        <w:trPr>
          <w:trHeight w:val="485"/>
        </w:trPr>
        <w:tc>
          <w:tcPr>
            <w:tcW w:w="2515" w:type="dxa"/>
          </w:tcPr>
          <w:p w14:paraId="5E723C3C" w14:textId="1ECF9DB1" w:rsidR="009336D1" w:rsidRPr="004348A6" w:rsidRDefault="002C3589">
            <w:pPr>
              <w:rPr>
                <w:b/>
              </w:rPr>
            </w:pPr>
            <w:r w:rsidRPr="004348A6">
              <w:rPr>
                <w:b/>
              </w:rPr>
              <w:t>Scope of Service</w:t>
            </w:r>
          </w:p>
        </w:tc>
        <w:tc>
          <w:tcPr>
            <w:tcW w:w="5400" w:type="dxa"/>
          </w:tcPr>
          <w:p w14:paraId="5F7DBC96" w14:textId="464880D3" w:rsidR="009336D1" w:rsidRPr="004348A6" w:rsidRDefault="009336D1">
            <w:pPr>
              <w:rPr>
                <w:b/>
              </w:rPr>
            </w:pPr>
            <w:r w:rsidRPr="004348A6">
              <w:rPr>
                <w:b/>
              </w:rPr>
              <w:t xml:space="preserve">Expectation </w:t>
            </w:r>
          </w:p>
        </w:tc>
        <w:tc>
          <w:tcPr>
            <w:tcW w:w="2017" w:type="dxa"/>
          </w:tcPr>
          <w:p w14:paraId="75B8AAD1" w14:textId="11C85B7A" w:rsidR="009336D1" w:rsidRPr="004348A6" w:rsidRDefault="008A7F4A">
            <w:pPr>
              <w:rPr>
                <w:b/>
              </w:rPr>
            </w:pPr>
            <w:r w:rsidRPr="004348A6">
              <w:rPr>
                <w:b/>
              </w:rPr>
              <w:t>Notes</w:t>
            </w:r>
          </w:p>
        </w:tc>
      </w:tr>
      <w:tr w:rsidR="00225880" w14:paraId="236E8728" w14:textId="77777777" w:rsidTr="008A7F4A">
        <w:trPr>
          <w:trHeight w:val="1221"/>
        </w:trPr>
        <w:tc>
          <w:tcPr>
            <w:tcW w:w="2515" w:type="dxa"/>
          </w:tcPr>
          <w:p w14:paraId="20F6E13E" w14:textId="77777777" w:rsidR="00225880" w:rsidRDefault="00225880">
            <w:r>
              <w:t>Communication</w:t>
            </w:r>
          </w:p>
          <w:p w14:paraId="3A2BDA3F" w14:textId="3B7F6E80" w:rsidR="00225880" w:rsidRDefault="00225880" w:rsidP="004348A6">
            <w:pPr>
              <w:pStyle w:val="ListParagraph"/>
              <w:numPr>
                <w:ilvl w:val="0"/>
                <w:numId w:val="10"/>
              </w:numPr>
            </w:pPr>
            <w:r>
              <w:t>Work hours and After hours</w:t>
            </w:r>
          </w:p>
        </w:tc>
        <w:tc>
          <w:tcPr>
            <w:tcW w:w="5400" w:type="dxa"/>
          </w:tcPr>
          <w:p w14:paraId="584203E0" w14:textId="77777777" w:rsidR="00225880" w:rsidRDefault="008A7F4A">
            <w:r>
              <w:t xml:space="preserve">Podiatry agrees that </w:t>
            </w:r>
            <w:proofErr w:type="spellStart"/>
            <w:r>
              <w:t>Cortext</w:t>
            </w:r>
            <w:proofErr w:type="spellEnd"/>
            <w:r>
              <w:t xml:space="preserve"> is preferred mode of communications </w:t>
            </w:r>
          </w:p>
          <w:p w14:paraId="2818A77E" w14:textId="358EFF83" w:rsidR="008A7F4A" w:rsidRDefault="008A7F4A">
            <w:r>
              <w:t>Weekdays – 2 residents avail (covering SLN/FRE)</w:t>
            </w:r>
          </w:p>
          <w:p w14:paraId="3F606ABE" w14:textId="54E8D7CF" w:rsidR="008A7F4A" w:rsidRDefault="008A7F4A">
            <w:r>
              <w:t>Weekends – 1 resident avail (covering SLN/FRE)</w:t>
            </w:r>
          </w:p>
        </w:tc>
        <w:tc>
          <w:tcPr>
            <w:tcW w:w="2017" w:type="dxa"/>
          </w:tcPr>
          <w:p w14:paraId="70EBDC47" w14:textId="77777777" w:rsidR="00225880" w:rsidRDefault="00225880"/>
        </w:tc>
      </w:tr>
      <w:tr w:rsidR="00225880" w14:paraId="224688A4" w14:textId="77777777" w:rsidTr="008A7F4A">
        <w:trPr>
          <w:trHeight w:val="1136"/>
        </w:trPr>
        <w:tc>
          <w:tcPr>
            <w:tcW w:w="2515" w:type="dxa"/>
          </w:tcPr>
          <w:p w14:paraId="6243CAA4" w14:textId="77777777" w:rsidR="00225880" w:rsidRDefault="00225880">
            <w:r>
              <w:t>Coverage Hours</w:t>
            </w:r>
          </w:p>
          <w:p w14:paraId="5DC1EFDC" w14:textId="0D94AE1A" w:rsidR="003234F4" w:rsidRDefault="0029084D">
            <w:r>
              <w:t>Expected Response Time</w:t>
            </w:r>
          </w:p>
        </w:tc>
        <w:tc>
          <w:tcPr>
            <w:tcW w:w="5400" w:type="dxa"/>
          </w:tcPr>
          <w:p w14:paraId="3DFD8790" w14:textId="77777777" w:rsidR="00225880" w:rsidRDefault="008A7F4A">
            <w:r>
              <w:t>Podiatry available 24/7</w:t>
            </w:r>
          </w:p>
          <w:p w14:paraId="449981CC" w14:textId="2C20F47A" w:rsidR="008A7F4A" w:rsidRDefault="008A7F4A">
            <w:r>
              <w:t xml:space="preserve">Weekdays –approx. 2 </w:t>
            </w:r>
            <w:proofErr w:type="spellStart"/>
            <w:r>
              <w:t>hr</w:t>
            </w:r>
            <w:proofErr w:type="spellEnd"/>
            <w:r>
              <w:t xml:space="preserve"> response time per consult</w:t>
            </w:r>
          </w:p>
          <w:p w14:paraId="741BB58B" w14:textId="4E34D562" w:rsidR="008A7F4A" w:rsidRDefault="008A7F4A">
            <w:r>
              <w:t xml:space="preserve">Weekend – approx. 3-4 </w:t>
            </w:r>
            <w:proofErr w:type="spellStart"/>
            <w:r>
              <w:t>hr</w:t>
            </w:r>
            <w:proofErr w:type="spellEnd"/>
            <w:r>
              <w:t xml:space="preserve"> response time per consult</w:t>
            </w:r>
          </w:p>
        </w:tc>
        <w:tc>
          <w:tcPr>
            <w:tcW w:w="2017" w:type="dxa"/>
          </w:tcPr>
          <w:p w14:paraId="6610818A" w14:textId="759B79B6" w:rsidR="00225880" w:rsidRDefault="008A7F4A">
            <w:r>
              <w:t>If patient needs to be seen earlier, podiatry request communication of urgency</w:t>
            </w:r>
          </w:p>
        </w:tc>
      </w:tr>
      <w:tr w:rsidR="00C82B96" w14:paraId="28CFEAD3" w14:textId="77777777" w:rsidTr="008A7F4A">
        <w:trPr>
          <w:trHeight w:val="1136"/>
        </w:trPr>
        <w:tc>
          <w:tcPr>
            <w:tcW w:w="2515" w:type="dxa"/>
          </w:tcPr>
          <w:p w14:paraId="6F9F11DC" w14:textId="5E9281CC" w:rsidR="00A13BE4" w:rsidRDefault="001E28D2">
            <w:r>
              <w:t>Ordering of Labs and Imaging Studies</w:t>
            </w:r>
          </w:p>
        </w:tc>
        <w:tc>
          <w:tcPr>
            <w:tcW w:w="5400" w:type="dxa"/>
          </w:tcPr>
          <w:p w14:paraId="447D0701" w14:textId="603CD836" w:rsidR="00C82B96" w:rsidRDefault="001E28D2">
            <w:r>
              <w:t>Each department is responsible for labs, meds, imaging studies pertaining to their area of specialty</w:t>
            </w:r>
          </w:p>
        </w:tc>
        <w:tc>
          <w:tcPr>
            <w:tcW w:w="2017" w:type="dxa"/>
          </w:tcPr>
          <w:p w14:paraId="0B82825D" w14:textId="1960587B" w:rsidR="00C82B96" w:rsidRDefault="001E28D2">
            <w:r>
              <w:t xml:space="preserve">Exception is with </w:t>
            </w:r>
            <w:proofErr w:type="spellStart"/>
            <w:r w:rsidR="00D4027F">
              <w:t>anitbiotics</w:t>
            </w:r>
            <w:proofErr w:type="spellEnd"/>
            <w:r>
              <w:t xml:space="preserve"> (see below)</w:t>
            </w:r>
          </w:p>
        </w:tc>
      </w:tr>
      <w:tr w:rsidR="00C82B96" w14:paraId="1ED8A235" w14:textId="77777777" w:rsidTr="008A7F4A">
        <w:trPr>
          <w:trHeight w:val="1136"/>
        </w:trPr>
        <w:tc>
          <w:tcPr>
            <w:tcW w:w="2515" w:type="dxa"/>
          </w:tcPr>
          <w:p w14:paraId="1A1C4CCF" w14:textId="4144FA99" w:rsidR="00C82B96" w:rsidRDefault="001E28D2">
            <w:r>
              <w:t>Ordering of antibiotics</w:t>
            </w:r>
            <w:r w:rsidR="009E6D43">
              <w:t xml:space="preserve"> </w:t>
            </w:r>
          </w:p>
        </w:tc>
        <w:tc>
          <w:tcPr>
            <w:tcW w:w="5400" w:type="dxa"/>
          </w:tcPr>
          <w:p w14:paraId="105944FB" w14:textId="5D718F6E" w:rsidR="009E6D43" w:rsidRDefault="001E28D2" w:rsidP="001E28D2">
            <w:pPr>
              <w:pStyle w:val="ListParagraph"/>
              <w:numPr>
                <w:ilvl w:val="0"/>
                <w:numId w:val="5"/>
              </w:numPr>
            </w:pPr>
            <w:r>
              <w:t>Podiatry will be responsible for discussing with ID regarding antibiotics and making appropriate changes</w:t>
            </w:r>
          </w:p>
          <w:p w14:paraId="19C9E1F7" w14:textId="56A3F383" w:rsidR="009E6D43" w:rsidRDefault="001E28D2" w:rsidP="001E28D2">
            <w:pPr>
              <w:pStyle w:val="ListParagraph"/>
              <w:numPr>
                <w:ilvl w:val="0"/>
                <w:numId w:val="5"/>
              </w:numPr>
            </w:pPr>
            <w:r>
              <w:t xml:space="preserve">If there is a concurrent infection (i.e. UTI, </w:t>
            </w:r>
            <w:r w:rsidR="00D4027F">
              <w:t>pneumonia</w:t>
            </w:r>
            <w:r>
              <w:t>), HBS will be responsible for antibiotics changes</w:t>
            </w:r>
          </w:p>
          <w:p w14:paraId="22DF47CA" w14:textId="77777777" w:rsidR="009E6D43" w:rsidRDefault="009E6D43" w:rsidP="009E6D43"/>
          <w:p w14:paraId="4ABB6E60" w14:textId="77777777" w:rsidR="00C82B96" w:rsidRDefault="00C82B96"/>
        </w:tc>
        <w:tc>
          <w:tcPr>
            <w:tcW w:w="2017" w:type="dxa"/>
          </w:tcPr>
          <w:p w14:paraId="1386362A" w14:textId="50F019A8" w:rsidR="00C82B96" w:rsidRDefault="001E28D2" w:rsidP="0029084D">
            <w:r>
              <w:t>Any changes made to antibiotics should be clearly documented in the daily progress note</w:t>
            </w:r>
          </w:p>
        </w:tc>
      </w:tr>
      <w:tr w:rsidR="0029084D" w14:paraId="21FF7F60" w14:textId="77777777" w:rsidTr="008A7F4A">
        <w:trPr>
          <w:trHeight w:val="1136"/>
        </w:trPr>
        <w:tc>
          <w:tcPr>
            <w:tcW w:w="2515" w:type="dxa"/>
          </w:tcPr>
          <w:p w14:paraId="6BA7F6B4" w14:textId="42609F5D" w:rsidR="0029084D" w:rsidRDefault="0029084D" w:rsidP="001E28D2">
            <w:r>
              <w:t xml:space="preserve">Primary Service </w:t>
            </w:r>
            <w:r w:rsidR="00C27B3B">
              <w:t xml:space="preserve"> </w:t>
            </w:r>
          </w:p>
        </w:tc>
        <w:tc>
          <w:tcPr>
            <w:tcW w:w="5400" w:type="dxa"/>
          </w:tcPr>
          <w:p w14:paraId="63EE1601" w14:textId="4D2D9C58" w:rsidR="00783520" w:rsidRDefault="00783520" w:rsidP="00783520">
            <w:r>
              <w:t>Primary Service will be based on patient co-morbidities, which will be loosely correlated with their ASA Classification (see table)</w:t>
            </w:r>
          </w:p>
          <w:p w14:paraId="25B0483C" w14:textId="70E875E8" w:rsidR="001E28D2" w:rsidRDefault="001E28D2" w:rsidP="00C27B3B">
            <w:pPr>
              <w:pStyle w:val="ListParagraph"/>
            </w:pPr>
          </w:p>
        </w:tc>
        <w:tc>
          <w:tcPr>
            <w:tcW w:w="2017" w:type="dxa"/>
          </w:tcPr>
          <w:p w14:paraId="76CFEE8D" w14:textId="0FCE9C83" w:rsidR="0029084D" w:rsidRDefault="0029084D" w:rsidP="009336D1"/>
        </w:tc>
      </w:tr>
      <w:bookmarkEnd w:id="1"/>
      <w:tr w:rsidR="00225880" w14:paraId="471628D7" w14:textId="77777777" w:rsidTr="008A7F4A">
        <w:trPr>
          <w:trHeight w:val="1221"/>
        </w:trPr>
        <w:tc>
          <w:tcPr>
            <w:tcW w:w="2515" w:type="dxa"/>
          </w:tcPr>
          <w:p w14:paraId="5DF84919" w14:textId="1CFCF773" w:rsidR="006732A9" w:rsidRDefault="00387AFF" w:rsidP="0029084D">
            <w:r>
              <w:t xml:space="preserve">Transfer from Outside </w:t>
            </w:r>
            <w:proofErr w:type="gramStart"/>
            <w:r>
              <w:t>Services  and</w:t>
            </w:r>
            <w:proofErr w:type="gramEnd"/>
            <w:r>
              <w:t xml:space="preserve"> EPRP</w:t>
            </w:r>
          </w:p>
        </w:tc>
        <w:tc>
          <w:tcPr>
            <w:tcW w:w="5400" w:type="dxa"/>
          </w:tcPr>
          <w:p w14:paraId="19193574" w14:textId="0F2DE740" w:rsidR="00225880" w:rsidRDefault="00387AFF">
            <w:r>
              <w:t>Generally podiatry is contacted directly for these patients and will place admission orders. Podiatry requests HBS consult when appropriate</w:t>
            </w:r>
          </w:p>
        </w:tc>
        <w:tc>
          <w:tcPr>
            <w:tcW w:w="2017" w:type="dxa"/>
          </w:tcPr>
          <w:p w14:paraId="77244FCB" w14:textId="77777777" w:rsidR="00225880" w:rsidRDefault="00225880"/>
        </w:tc>
      </w:tr>
      <w:tr w:rsidR="00225880" w14:paraId="1DF2B4FF" w14:textId="77777777" w:rsidTr="008A7F4A">
        <w:trPr>
          <w:trHeight w:val="1136"/>
        </w:trPr>
        <w:tc>
          <w:tcPr>
            <w:tcW w:w="2515" w:type="dxa"/>
          </w:tcPr>
          <w:p w14:paraId="382990F4" w14:textId="47E0F954" w:rsidR="00225880" w:rsidRDefault="00387AFF">
            <w:r>
              <w:t>Post-Hospital follow up</w:t>
            </w:r>
          </w:p>
        </w:tc>
        <w:tc>
          <w:tcPr>
            <w:tcW w:w="5400" w:type="dxa"/>
          </w:tcPr>
          <w:p w14:paraId="5EBB644B" w14:textId="77777777" w:rsidR="00225880" w:rsidRDefault="00387AFF">
            <w:r>
              <w:t>Podiatry to arrange follow up clinic</w:t>
            </w:r>
          </w:p>
          <w:p w14:paraId="2DAABA1B" w14:textId="52E3766B" w:rsidR="00387AFF" w:rsidRDefault="00387AFF">
            <w:r>
              <w:t xml:space="preserve">Podiatry to arrange post-op needs including wound care, pain control, etc. </w:t>
            </w:r>
          </w:p>
        </w:tc>
        <w:tc>
          <w:tcPr>
            <w:tcW w:w="2017" w:type="dxa"/>
          </w:tcPr>
          <w:p w14:paraId="09B27301" w14:textId="518BADE3" w:rsidR="00225880" w:rsidRDefault="00387AFF">
            <w:r>
              <w:t>PCP follow up for other medical issues</w:t>
            </w:r>
          </w:p>
        </w:tc>
      </w:tr>
      <w:tr w:rsidR="00225880" w14:paraId="5782847D" w14:textId="77777777" w:rsidTr="008A7F4A">
        <w:trPr>
          <w:trHeight w:val="1136"/>
        </w:trPr>
        <w:tc>
          <w:tcPr>
            <w:tcW w:w="2515" w:type="dxa"/>
          </w:tcPr>
          <w:p w14:paraId="031666FE" w14:textId="03838EFF" w:rsidR="00225880" w:rsidRDefault="00387AFF">
            <w:r>
              <w:lastRenderedPageBreak/>
              <w:t>Resolution of Conflict</w:t>
            </w:r>
          </w:p>
        </w:tc>
        <w:tc>
          <w:tcPr>
            <w:tcW w:w="5400" w:type="dxa"/>
          </w:tcPr>
          <w:p w14:paraId="35EFAFB9" w14:textId="77777777" w:rsidR="00225880" w:rsidRDefault="00387AFF">
            <w:r>
              <w:t xml:space="preserve">MD to MD discussion should be held to resolve conflicts on issues pertaining (but not limited to): </w:t>
            </w:r>
          </w:p>
          <w:p w14:paraId="4AF9BDCC" w14:textId="77777777" w:rsidR="00387AFF" w:rsidRDefault="00387AFF" w:rsidP="00387AFF">
            <w:pPr>
              <w:pStyle w:val="ListParagraph"/>
              <w:numPr>
                <w:ilvl w:val="0"/>
                <w:numId w:val="8"/>
              </w:numPr>
            </w:pPr>
            <w:r>
              <w:t xml:space="preserve">Which service is primary </w:t>
            </w:r>
          </w:p>
          <w:p w14:paraId="117B1CF2" w14:textId="77777777" w:rsidR="00387AFF" w:rsidRDefault="00387AFF" w:rsidP="00387AFF">
            <w:pPr>
              <w:pStyle w:val="ListParagraph"/>
              <w:numPr>
                <w:ilvl w:val="0"/>
                <w:numId w:val="8"/>
              </w:numPr>
            </w:pPr>
            <w:r>
              <w:t>When consult service may sign off (if at all)</w:t>
            </w:r>
          </w:p>
          <w:p w14:paraId="0D79D546" w14:textId="4EFF35F7" w:rsidR="00387AFF" w:rsidRDefault="00387AFF" w:rsidP="00387AFF">
            <w:pPr>
              <w:pStyle w:val="ListParagraph"/>
              <w:numPr>
                <w:ilvl w:val="0"/>
                <w:numId w:val="8"/>
              </w:numPr>
            </w:pPr>
            <w:r>
              <w:t>Medical issues which may affect patient care</w:t>
            </w:r>
          </w:p>
        </w:tc>
        <w:tc>
          <w:tcPr>
            <w:tcW w:w="2017" w:type="dxa"/>
          </w:tcPr>
          <w:p w14:paraId="15F79E59" w14:textId="77777777" w:rsidR="00225880" w:rsidRDefault="00225880"/>
        </w:tc>
      </w:tr>
      <w:tr w:rsidR="00B64576" w14:paraId="6A36541B" w14:textId="77777777" w:rsidTr="008A7F4A">
        <w:trPr>
          <w:trHeight w:val="1221"/>
        </w:trPr>
        <w:tc>
          <w:tcPr>
            <w:tcW w:w="2515" w:type="dxa"/>
          </w:tcPr>
          <w:p w14:paraId="1480231F" w14:textId="5B49AA0A" w:rsidR="003A6647" w:rsidRDefault="0029084D">
            <w:r>
              <w:t xml:space="preserve">Peri-operative </w:t>
            </w:r>
            <w:r w:rsidR="00896F75">
              <w:t>Management of Patient</w:t>
            </w:r>
          </w:p>
        </w:tc>
        <w:tc>
          <w:tcPr>
            <w:tcW w:w="5400" w:type="dxa"/>
          </w:tcPr>
          <w:p w14:paraId="76064113" w14:textId="5303372E" w:rsidR="00896F75" w:rsidRDefault="00896F75" w:rsidP="00387AFF">
            <w:pPr>
              <w:pStyle w:val="ListParagraph"/>
              <w:numPr>
                <w:ilvl w:val="0"/>
                <w:numId w:val="9"/>
              </w:numPr>
            </w:pPr>
            <w:r>
              <w:t>Anticoagulation</w:t>
            </w:r>
          </w:p>
          <w:p w14:paraId="6D3265DE" w14:textId="7833CCAF" w:rsidR="00387AFF" w:rsidRDefault="00387AFF" w:rsidP="00896F75">
            <w:pPr>
              <w:pStyle w:val="ListParagraph"/>
              <w:numPr>
                <w:ilvl w:val="0"/>
                <w:numId w:val="13"/>
              </w:numPr>
            </w:pPr>
            <w:r>
              <w:t>Reversing INR and AC in general</w:t>
            </w:r>
            <w:r w:rsidR="00896F75">
              <w:t xml:space="preserve"> </w:t>
            </w:r>
            <w:r>
              <w:t>should be a shared responsibility between departments</w:t>
            </w:r>
          </w:p>
          <w:p w14:paraId="76403C00" w14:textId="24076633" w:rsidR="00896F75" w:rsidRDefault="0083005A" w:rsidP="00896F75">
            <w:pPr>
              <w:pStyle w:val="ListParagraph"/>
              <w:numPr>
                <w:ilvl w:val="1"/>
                <w:numId w:val="13"/>
              </w:numPr>
            </w:pPr>
            <w:r>
              <w:t xml:space="preserve">For cases when </w:t>
            </w:r>
            <w:proofErr w:type="spellStart"/>
            <w:r>
              <w:t>KCentra</w:t>
            </w:r>
            <w:proofErr w:type="spellEnd"/>
            <w:r>
              <w:t xml:space="preserve"> is indicated (pts on Warfarin needing urgent surgery), communication between attendings should take place and shared decision to be made on ordering. </w:t>
            </w:r>
          </w:p>
          <w:p w14:paraId="4AE87942" w14:textId="026C954C" w:rsidR="0083005A" w:rsidRDefault="0083005A" w:rsidP="00896F75">
            <w:pPr>
              <w:pStyle w:val="ListParagraph"/>
              <w:numPr>
                <w:ilvl w:val="1"/>
                <w:numId w:val="13"/>
              </w:numPr>
            </w:pPr>
            <w:r>
              <w:t xml:space="preserve">When ordering </w:t>
            </w:r>
            <w:proofErr w:type="spellStart"/>
            <w:r>
              <w:t>KCentra</w:t>
            </w:r>
            <w:proofErr w:type="spellEnd"/>
            <w:r>
              <w:t xml:space="preserve">, use “Rapid Reversal of Coagulopathy” </w:t>
            </w:r>
            <w:proofErr w:type="spellStart"/>
            <w:r>
              <w:t>OrderSet</w:t>
            </w:r>
            <w:proofErr w:type="spellEnd"/>
            <w:r>
              <w:t xml:space="preserve"> and call inpatient pharmacy to confirm dose</w:t>
            </w:r>
          </w:p>
          <w:p w14:paraId="45AE5CFE" w14:textId="19A1BF3E" w:rsidR="00B64576" w:rsidRDefault="00387AFF" w:rsidP="00896F75">
            <w:pPr>
              <w:pStyle w:val="ListParagraph"/>
              <w:numPr>
                <w:ilvl w:val="0"/>
                <w:numId w:val="13"/>
              </w:numPr>
            </w:pPr>
            <w:r>
              <w:t>Podiatry to clearly document goal INR and make best effort to communicate timing of operation</w:t>
            </w:r>
          </w:p>
          <w:p w14:paraId="18F88535" w14:textId="4DFB20B4" w:rsidR="00387AFF" w:rsidRDefault="00387AFF" w:rsidP="00896F75">
            <w:pPr>
              <w:pStyle w:val="ListParagraph"/>
              <w:numPr>
                <w:ilvl w:val="0"/>
                <w:numId w:val="13"/>
              </w:numPr>
            </w:pPr>
            <w:r>
              <w:t>Podiatry to document when it is reasonable to resume anticoagulation</w:t>
            </w:r>
          </w:p>
          <w:p w14:paraId="67CB755E" w14:textId="022CC54B" w:rsidR="00896F75" w:rsidRDefault="00896F75" w:rsidP="00896F75">
            <w:pPr>
              <w:pStyle w:val="ListParagraph"/>
              <w:numPr>
                <w:ilvl w:val="0"/>
                <w:numId w:val="9"/>
              </w:numPr>
            </w:pPr>
            <w:r>
              <w:t>DVT prophylaxis</w:t>
            </w:r>
          </w:p>
          <w:p w14:paraId="4C23D508" w14:textId="11680C53" w:rsidR="00896F75" w:rsidRDefault="00896F75" w:rsidP="00896F75">
            <w:pPr>
              <w:pStyle w:val="ListParagraph"/>
              <w:numPr>
                <w:ilvl w:val="0"/>
                <w:numId w:val="13"/>
              </w:numPr>
            </w:pPr>
            <w:r>
              <w:t xml:space="preserve">Podiatry to discontinue DVT prophylaxis when patient goes for surgery </w:t>
            </w:r>
          </w:p>
          <w:p w14:paraId="52DB30EE" w14:textId="5D4425E9" w:rsidR="00896F75" w:rsidRDefault="00896F75" w:rsidP="00896F75">
            <w:pPr>
              <w:pStyle w:val="ListParagraph"/>
              <w:numPr>
                <w:ilvl w:val="0"/>
                <w:numId w:val="13"/>
              </w:numPr>
            </w:pPr>
            <w:r>
              <w:t xml:space="preserve">Podiatry to resume DVT prophylaxis post-operatively when indicated </w:t>
            </w:r>
          </w:p>
          <w:p w14:paraId="1A6F3DBA" w14:textId="65E2B4EA" w:rsidR="00896F75" w:rsidRDefault="00896F75" w:rsidP="00896F75">
            <w:pPr>
              <w:pStyle w:val="ListParagraph"/>
              <w:numPr>
                <w:ilvl w:val="0"/>
                <w:numId w:val="9"/>
              </w:numPr>
            </w:pPr>
            <w:r>
              <w:t xml:space="preserve">Diet </w:t>
            </w:r>
          </w:p>
          <w:p w14:paraId="46E9E1B4" w14:textId="269578ED" w:rsidR="00896F75" w:rsidRDefault="00896F75" w:rsidP="00896F75">
            <w:pPr>
              <w:pStyle w:val="ListParagraph"/>
              <w:numPr>
                <w:ilvl w:val="0"/>
                <w:numId w:val="14"/>
              </w:numPr>
            </w:pPr>
            <w:r>
              <w:t>Podiatry to place NPO orders for planned surgeries and resum</w:t>
            </w:r>
            <w:r w:rsidR="00950F18">
              <w:t>e</w:t>
            </w:r>
            <w:r>
              <w:t xml:space="preserve"> diet post-operatively</w:t>
            </w:r>
          </w:p>
          <w:p w14:paraId="0CBE8682" w14:textId="05D42483" w:rsidR="00896F75" w:rsidRDefault="00896F75" w:rsidP="00896F75">
            <w:pPr>
              <w:pStyle w:val="ListParagraph"/>
              <w:numPr>
                <w:ilvl w:val="0"/>
                <w:numId w:val="9"/>
              </w:numPr>
            </w:pPr>
            <w:r>
              <w:t>Medical Optimization</w:t>
            </w:r>
          </w:p>
          <w:p w14:paraId="36896997" w14:textId="6A571E21" w:rsidR="00896F75" w:rsidRDefault="00896F75" w:rsidP="00896F75">
            <w:pPr>
              <w:pStyle w:val="ListParagraph"/>
              <w:numPr>
                <w:ilvl w:val="0"/>
                <w:numId w:val="14"/>
              </w:numPr>
            </w:pPr>
            <w:r>
              <w:t xml:space="preserve">HBS </w:t>
            </w:r>
            <w:r w:rsidR="00950F18">
              <w:t xml:space="preserve">responsible for </w:t>
            </w:r>
            <w:r>
              <w:t>medical optimization of patient including review of labs</w:t>
            </w:r>
            <w:r w:rsidR="00950F18">
              <w:t xml:space="preserve"> and medications, and ordering of blood products, </w:t>
            </w:r>
            <w:proofErr w:type="spellStart"/>
            <w:r w:rsidR="00950F18">
              <w:t>etc</w:t>
            </w:r>
            <w:proofErr w:type="spellEnd"/>
          </w:p>
          <w:p w14:paraId="4FF09AD6" w14:textId="77777777" w:rsidR="00896F75" w:rsidRDefault="00896F75" w:rsidP="00896F75">
            <w:pPr>
              <w:pStyle w:val="ListParagraph"/>
              <w:ind w:left="1440"/>
            </w:pPr>
          </w:p>
          <w:p w14:paraId="12D02518" w14:textId="22E098D8" w:rsidR="00387AFF" w:rsidRDefault="00387AFF" w:rsidP="00387AFF">
            <w:pPr>
              <w:pStyle w:val="ListParagraph"/>
            </w:pPr>
          </w:p>
        </w:tc>
        <w:tc>
          <w:tcPr>
            <w:tcW w:w="2017" w:type="dxa"/>
          </w:tcPr>
          <w:p w14:paraId="562BD279" w14:textId="77777777" w:rsidR="00B64576" w:rsidRDefault="00B64576"/>
        </w:tc>
      </w:tr>
    </w:tbl>
    <w:p w14:paraId="4AEDA81C" w14:textId="3621CDE4" w:rsidR="00225880" w:rsidRDefault="00225880"/>
    <w:p w14:paraId="49E48190" w14:textId="5E4B5411" w:rsidR="007A1A35" w:rsidRDefault="007A1A35"/>
    <w:p w14:paraId="0AE4F974" w14:textId="0D42927D" w:rsidR="007A1A35" w:rsidRDefault="007A1A35"/>
    <w:p w14:paraId="4DFA737E" w14:textId="1C2D7773" w:rsidR="007A1A35" w:rsidRDefault="007A1A35"/>
    <w:p w14:paraId="174C45FB" w14:textId="6425616F" w:rsidR="007A1A35" w:rsidRDefault="007A1A35"/>
    <w:p w14:paraId="0917C275" w14:textId="6F8BC1E4" w:rsidR="007A1A35" w:rsidRDefault="007A1A35"/>
    <w:p w14:paraId="5F9A3B4B" w14:textId="3AE182A4" w:rsidR="007A1A35" w:rsidRDefault="007A1A35"/>
    <w:p w14:paraId="785D919C" w14:textId="38A80B2D" w:rsidR="007A1A35" w:rsidRDefault="007A1A35"/>
    <w:p w14:paraId="21C1A0C8" w14:textId="1C41CD8F" w:rsidR="007A1A35" w:rsidRDefault="007A1A35"/>
    <w:p w14:paraId="2377A391" w14:textId="3FCAC97E" w:rsidR="007A1A35" w:rsidRDefault="007A1A35"/>
    <w:p w14:paraId="61A0BC1D" w14:textId="22BF0862" w:rsidR="007A1A35" w:rsidRDefault="007A1A35"/>
    <w:p w14:paraId="15B14FF3" w14:textId="4E54E788" w:rsidR="004348A6" w:rsidRDefault="004348A6"/>
    <w:tbl>
      <w:tblPr>
        <w:tblStyle w:val="TableGrid"/>
        <w:tblpPr w:leftFromText="180" w:rightFromText="180" w:vertAnchor="page" w:horzAnchor="margin" w:tblpY="1261"/>
        <w:tblW w:w="0" w:type="auto"/>
        <w:tblLook w:val="04A0" w:firstRow="1" w:lastRow="0" w:firstColumn="1" w:lastColumn="0" w:noHBand="0" w:noVBand="1"/>
      </w:tblPr>
      <w:tblGrid>
        <w:gridCol w:w="3006"/>
        <w:gridCol w:w="3007"/>
        <w:gridCol w:w="3032"/>
      </w:tblGrid>
      <w:tr w:rsidR="00950F18" w14:paraId="034D424C" w14:textId="77777777" w:rsidTr="00950F18">
        <w:trPr>
          <w:trHeight w:val="263"/>
        </w:trPr>
        <w:tc>
          <w:tcPr>
            <w:tcW w:w="3006" w:type="dxa"/>
          </w:tcPr>
          <w:p w14:paraId="694E8989" w14:textId="77777777" w:rsidR="00950F18" w:rsidRDefault="00950F18" w:rsidP="00950F18">
            <w:r>
              <w:t>Classification</w:t>
            </w:r>
          </w:p>
        </w:tc>
        <w:tc>
          <w:tcPr>
            <w:tcW w:w="3007" w:type="dxa"/>
          </w:tcPr>
          <w:p w14:paraId="04FF4003" w14:textId="77777777" w:rsidR="00950F18" w:rsidRDefault="00950F18" w:rsidP="00950F18">
            <w:r>
              <w:t>Definition</w:t>
            </w:r>
          </w:p>
        </w:tc>
        <w:tc>
          <w:tcPr>
            <w:tcW w:w="3032" w:type="dxa"/>
          </w:tcPr>
          <w:p w14:paraId="4F477480" w14:textId="77777777" w:rsidR="00950F18" w:rsidRDefault="00950F18" w:rsidP="00950F18">
            <w:r>
              <w:t>Examples</w:t>
            </w:r>
          </w:p>
        </w:tc>
      </w:tr>
      <w:tr w:rsidR="00950F18" w14:paraId="57157A23" w14:textId="77777777" w:rsidTr="00950F18">
        <w:trPr>
          <w:trHeight w:val="263"/>
        </w:trPr>
        <w:tc>
          <w:tcPr>
            <w:tcW w:w="3006" w:type="dxa"/>
          </w:tcPr>
          <w:p w14:paraId="45F51163" w14:textId="29CE555F" w:rsidR="00950F18" w:rsidRDefault="00950F18" w:rsidP="00950F18">
            <w:r>
              <w:t>Podiatry Primary</w:t>
            </w:r>
          </w:p>
        </w:tc>
        <w:tc>
          <w:tcPr>
            <w:tcW w:w="3007" w:type="dxa"/>
          </w:tcPr>
          <w:p w14:paraId="65A8CA26" w14:textId="6BADE8D0" w:rsidR="00950F18" w:rsidRDefault="00950F18" w:rsidP="00950F18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A normal healthy patient</w:t>
            </w:r>
          </w:p>
        </w:tc>
        <w:tc>
          <w:tcPr>
            <w:tcW w:w="3032" w:type="dxa"/>
          </w:tcPr>
          <w:p w14:paraId="175FF3B7" w14:textId="09C96276" w:rsidR="00950F18" w:rsidRDefault="00950F18" w:rsidP="00950F18"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Healthy patient within minimal co-morbidities</w:t>
            </w:r>
          </w:p>
        </w:tc>
      </w:tr>
      <w:tr w:rsidR="00950F18" w14:paraId="47342E0D" w14:textId="77777777" w:rsidTr="00950F18">
        <w:trPr>
          <w:trHeight w:val="263"/>
        </w:trPr>
        <w:tc>
          <w:tcPr>
            <w:tcW w:w="3006" w:type="dxa"/>
          </w:tcPr>
          <w:p w14:paraId="6DFB7591" w14:textId="0DD2F5C1" w:rsidR="00950F18" w:rsidRDefault="00950F18" w:rsidP="00950F18">
            <w:r>
              <w:lastRenderedPageBreak/>
              <w:t>Podiatry Primary with HBS consultation at the discretion of the podiatrist</w:t>
            </w:r>
          </w:p>
        </w:tc>
        <w:tc>
          <w:tcPr>
            <w:tcW w:w="3007" w:type="dxa"/>
          </w:tcPr>
          <w:p w14:paraId="62DA283F" w14:textId="712A9905" w:rsidR="00950F18" w:rsidRDefault="00950F18" w:rsidP="00950F18">
            <w:r>
              <w:rPr>
                <w:rFonts w:ascii="Arial" w:hAnsi="Arial" w:cs="Arial"/>
                <w:color w:val="000000"/>
                <w:sz w:val="21"/>
                <w:szCs w:val="21"/>
              </w:rPr>
              <w:t>Diseases without substantive functional limitations.</w:t>
            </w:r>
          </w:p>
        </w:tc>
        <w:tc>
          <w:tcPr>
            <w:tcW w:w="3032" w:type="dxa"/>
          </w:tcPr>
          <w:p w14:paraId="0A3D3F98" w14:textId="77777777" w:rsidR="00950F18" w:rsidRDefault="00950F18" w:rsidP="00950F1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Examples include (but not limited to): </w:t>
            </w:r>
          </w:p>
          <w:p w14:paraId="6ABD578C" w14:textId="77777777" w:rsidR="00950F18" w:rsidRDefault="00950F18" w:rsidP="00950F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2E3B">
              <w:rPr>
                <w:rFonts w:ascii="Arial" w:hAnsi="Arial" w:cs="Arial"/>
                <w:color w:val="000000"/>
                <w:sz w:val="21"/>
                <w:szCs w:val="21"/>
              </w:rPr>
              <w:t>DM/HTN</w:t>
            </w:r>
          </w:p>
          <w:p w14:paraId="7CD491F0" w14:textId="77777777" w:rsidR="00950F18" w:rsidRDefault="00950F18" w:rsidP="00950F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02E3B">
              <w:rPr>
                <w:rFonts w:ascii="Arial" w:hAnsi="Arial" w:cs="Arial"/>
                <w:color w:val="000000"/>
                <w:sz w:val="21"/>
                <w:szCs w:val="21"/>
              </w:rPr>
              <w:t xml:space="preserve"> lung disease not on Home O2 and without respiratory symptoms</w:t>
            </w:r>
          </w:p>
          <w:p w14:paraId="01EF9C9A" w14:textId="77777777" w:rsidR="00950F18" w:rsidRDefault="00950F18" w:rsidP="00950F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Remote hx of CVA/TIA, CAD and without current symptoms</w:t>
            </w:r>
          </w:p>
          <w:p w14:paraId="60576F86" w14:textId="77777777" w:rsidR="00950F18" w:rsidRPr="00602E3B" w:rsidRDefault="00950F18" w:rsidP="00950F1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CHF with normal or mildly reduced EF and not in exacerbation</w:t>
            </w:r>
          </w:p>
          <w:p w14:paraId="6646DA5E" w14:textId="77777777" w:rsidR="00950F18" w:rsidRDefault="00950F18" w:rsidP="00950F18"/>
        </w:tc>
      </w:tr>
      <w:tr w:rsidR="00950F18" w14:paraId="5CD84BA8" w14:textId="77777777" w:rsidTr="00950F18">
        <w:trPr>
          <w:trHeight w:val="453"/>
        </w:trPr>
        <w:tc>
          <w:tcPr>
            <w:tcW w:w="3006" w:type="dxa"/>
          </w:tcPr>
          <w:p w14:paraId="37D783C3" w14:textId="5DFB7D5C" w:rsidR="00950F18" w:rsidRDefault="00950F18" w:rsidP="00950F18">
            <w:pPr>
              <w:jc w:val="center"/>
            </w:pPr>
            <w:r>
              <w:t>HBS Primary</w:t>
            </w:r>
          </w:p>
        </w:tc>
        <w:tc>
          <w:tcPr>
            <w:tcW w:w="3007" w:type="dxa"/>
          </w:tcPr>
          <w:p w14:paraId="206F3B1E" w14:textId="77777777" w:rsidR="00950F18" w:rsidRDefault="00950F18" w:rsidP="00950F18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Substantive functional limitations; One or more moderate to severe diseases.</w:t>
            </w:r>
          </w:p>
          <w:p w14:paraId="61E69DEA" w14:textId="14050A77" w:rsidR="00950F18" w:rsidRDefault="00950F18" w:rsidP="00950F18"/>
        </w:tc>
        <w:tc>
          <w:tcPr>
            <w:tcW w:w="3032" w:type="dxa"/>
          </w:tcPr>
          <w:p w14:paraId="1BEC4C0B" w14:textId="77777777" w:rsidR="00950F18" w:rsidRDefault="00950F18" w:rsidP="00950F18">
            <w:p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Examples include (but not limited to): </w:t>
            </w:r>
          </w:p>
          <w:p w14:paraId="532E158A" w14:textId="77777777" w:rsidR="00950F18" w:rsidRDefault="00950F18" w:rsidP="00950F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 w:rsidRPr="00602E3B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ESRD undergoing regularly scheduled dialysis</w:t>
            </w:r>
          </w:p>
          <w:p w14:paraId="29FD3D47" w14:textId="77777777" w:rsidR="00950F18" w:rsidRDefault="00950F18" w:rsidP="00950F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CHF with EF &lt;30%, decompensated</w:t>
            </w:r>
          </w:p>
          <w:p w14:paraId="7324A714" w14:textId="77777777" w:rsidR="00950F18" w:rsidRDefault="00950F18" w:rsidP="00950F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Chronic resp failure/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COPD  on</w:t>
            </w:r>
            <w:proofErr w:type="gramEnd"/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home O2 and  with or w/o sob</w:t>
            </w:r>
          </w:p>
          <w:p w14:paraId="602AA5BF" w14:textId="77777777" w:rsidR="00950F18" w:rsidRPr="00602E3B" w:rsidRDefault="00950F18" w:rsidP="00950F1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EBEBEB"/>
              </w:rPr>
              <w:t>CAD with revascularization &lt;3 months, ongoing cardiac ischemia or severe valve dysfunction</w:t>
            </w:r>
          </w:p>
          <w:p w14:paraId="6744FE2F" w14:textId="663BB71A" w:rsidR="00950F18" w:rsidRDefault="00950F18" w:rsidP="00950F18"/>
        </w:tc>
      </w:tr>
    </w:tbl>
    <w:p w14:paraId="2905AE84" w14:textId="535CF10C" w:rsidR="007A1A35" w:rsidRPr="00C27B3B" w:rsidRDefault="007A1A35">
      <w:pPr>
        <w:rPr>
          <w:sz w:val="44"/>
          <w:szCs w:val="44"/>
        </w:rPr>
      </w:pPr>
    </w:p>
    <w:p w14:paraId="1911171F" w14:textId="77777777" w:rsidR="00783520" w:rsidRDefault="00783520" w:rsidP="00602E3B">
      <w:pPr>
        <w:pStyle w:val="ListParagraph"/>
      </w:pPr>
    </w:p>
    <w:p w14:paraId="1747B1A5" w14:textId="3476BD44" w:rsidR="007A1A35" w:rsidRDefault="007A1A35"/>
    <w:p w14:paraId="4A47A7A1" w14:textId="77777777" w:rsidR="007A1A35" w:rsidRDefault="007A1A35"/>
    <w:sectPr w:rsidR="007A1A35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63F54" w14:textId="77777777" w:rsidR="007E1E40" w:rsidRDefault="007E1E40" w:rsidP="00225880">
      <w:pPr>
        <w:spacing w:after="0" w:line="240" w:lineRule="auto"/>
      </w:pPr>
      <w:r>
        <w:separator/>
      </w:r>
    </w:p>
  </w:endnote>
  <w:endnote w:type="continuationSeparator" w:id="0">
    <w:p w14:paraId="14067CB6" w14:textId="77777777" w:rsidR="007E1E40" w:rsidRDefault="007E1E40" w:rsidP="0022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60FDF2" w14:textId="77777777" w:rsidR="007E1E40" w:rsidRDefault="007E1E40" w:rsidP="00225880">
      <w:pPr>
        <w:spacing w:after="0" w:line="240" w:lineRule="auto"/>
      </w:pPr>
      <w:r>
        <w:separator/>
      </w:r>
    </w:p>
  </w:footnote>
  <w:footnote w:type="continuationSeparator" w:id="0">
    <w:p w14:paraId="44AEDB3B" w14:textId="77777777" w:rsidR="007E1E40" w:rsidRDefault="007E1E40" w:rsidP="0022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sdt>
    <w:sdtPr>
      <w:id w:val="539172593"/>
      <w:docPartObj>
        <w:docPartGallery w:val="Watermarks"/>
        <w:docPartUnique/>
      </w:docPartObj>
    </w:sdtPr>
    <w:sdtEndPr/>
    <w:sdtContent>
      <w:p w14:paraId="70AA741D" w14:textId="77777777" w:rsidR="00225880" w:rsidRDefault="0031321A">
        <w:pPr>
          <w:pStyle w:val="Header"/>
        </w:pPr>
        <w:r>
          <w:rPr>
            <w:noProof/>
          </w:rPr>
          <w:pict w14:anchorId="29578464">
            <v:shapetype id="_x0000_t136" coordsize="21600,21600" o:spt="136" adj="10800" path="m@7,0l@8,0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9F"/>
    <w:multiLevelType w:val="hybridMultilevel"/>
    <w:tmpl w:val="21285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73386"/>
    <w:multiLevelType w:val="hybridMultilevel"/>
    <w:tmpl w:val="131E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3A3B03"/>
    <w:multiLevelType w:val="hybridMultilevel"/>
    <w:tmpl w:val="262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2699D"/>
    <w:multiLevelType w:val="hybridMultilevel"/>
    <w:tmpl w:val="CDE2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1054C"/>
    <w:multiLevelType w:val="hybridMultilevel"/>
    <w:tmpl w:val="D30A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521A4"/>
    <w:multiLevelType w:val="hybridMultilevel"/>
    <w:tmpl w:val="A9C20C96"/>
    <w:lvl w:ilvl="0" w:tplc="ED8497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80469"/>
    <w:multiLevelType w:val="hybridMultilevel"/>
    <w:tmpl w:val="E4BA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6877A1"/>
    <w:multiLevelType w:val="hybridMultilevel"/>
    <w:tmpl w:val="F6721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102648"/>
    <w:multiLevelType w:val="hybridMultilevel"/>
    <w:tmpl w:val="BE8C75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7345C5F"/>
    <w:multiLevelType w:val="hybridMultilevel"/>
    <w:tmpl w:val="F664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F13C8"/>
    <w:multiLevelType w:val="hybridMultilevel"/>
    <w:tmpl w:val="416A1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157258"/>
    <w:multiLevelType w:val="hybridMultilevel"/>
    <w:tmpl w:val="CF8CB9A8"/>
    <w:lvl w:ilvl="0" w:tplc="ED8497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737B9"/>
    <w:multiLevelType w:val="hybridMultilevel"/>
    <w:tmpl w:val="3F1C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6D6E76"/>
    <w:multiLevelType w:val="hybridMultilevel"/>
    <w:tmpl w:val="F1C46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DB08D3"/>
    <w:multiLevelType w:val="hybridMultilevel"/>
    <w:tmpl w:val="AE208326"/>
    <w:lvl w:ilvl="0" w:tplc="ED8497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4"/>
  </w:num>
  <w:num w:numId="5">
    <w:abstractNumId w:val="12"/>
  </w:num>
  <w:num w:numId="6">
    <w:abstractNumId w:val="10"/>
  </w:num>
  <w:num w:numId="7">
    <w:abstractNumId w:val="2"/>
  </w:num>
  <w:num w:numId="8">
    <w:abstractNumId w:val="9"/>
  </w:num>
  <w:num w:numId="9">
    <w:abstractNumId w:val="3"/>
  </w:num>
  <w:num w:numId="10">
    <w:abstractNumId w:val="13"/>
  </w:num>
  <w:num w:numId="11">
    <w:abstractNumId w:val="8"/>
  </w:num>
  <w:num w:numId="12">
    <w:abstractNumId w:val="6"/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06"/>
    <w:rsid w:val="00013802"/>
    <w:rsid w:val="000A547E"/>
    <w:rsid w:val="000C0C23"/>
    <w:rsid w:val="000C4BEB"/>
    <w:rsid w:val="00140C92"/>
    <w:rsid w:val="00161694"/>
    <w:rsid w:val="001619D3"/>
    <w:rsid w:val="001850CE"/>
    <w:rsid w:val="001A0A7B"/>
    <w:rsid w:val="001E16DA"/>
    <w:rsid w:val="001E28D2"/>
    <w:rsid w:val="002139C7"/>
    <w:rsid w:val="00225880"/>
    <w:rsid w:val="00237818"/>
    <w:rsid w:val="00254AC4"/>
    <w:rsid w:val="0029084D"/>
    <w:rsid w:val="00297C5B"/>
    <w:rsid w:val="002C3589"/>
    <w:rsid w:val="002C7992"/>
    <w:rsid w:val="002F40C1"/>
    <w:rsid w:val="0031321A"/>
    <w:rsid w:val="003234F4"/>
    <w:rsid w:val="00387AFF"/>
    <w:rsid w:val="00396CAB"/>
    <w:rsid w:val="003A6647"/>
    <w:rsid w:val="00411E34"/>
    <w:rsid w:val="00433370"/>
    <w:rsid w:val="004348A6"/>
    <w:rsid w:val="0050748D"/>
    <w:rsid w:val="00515CE1"/>
    <w:rsid w:val="00532B2E"/>
    <w:rsid w:val="00552C5F"/>
    <w:rsid w:val="00560E94"/>
    <w:rsid w:val="00582E99"/>
    <w:rsid w:val="005D3A5C"/>
    <w:rsid w:val="00602E3B"/>
    <w:rsid w:val="00605880"/>
    <w:rsid w:val="00617F06"/>
    <w:rsid w:val="006732A9"/>
    <w:rsid w:val="006B420B"/>
    <w:rsid w:val="006D358A"/>
    <w:rsid w:val="006E02D4"/>
    <w:rsid w:val="006F6F41"/>
    <w:rsid w:val="00720FFC"/>
    <w:rsid w:val="00721E8D"/>
    <w:rsid w:val="00737548"/>
    <w:rsid w:val="00783520"/>
    <w:rsid w:val="007A1A35"/>
    <w:rsid w:val="007A1AC8"/>
    <w:rsid w:val="007C1296"/>
    <w:rsid w:val="007E1E40"/>
    <w:rsid w:val="00802511"/>
    <w:rsid w:val="0083005A"/>
    <w:rsid w:val="00896F75"/>
    <w:rsid w:val="008A7F4A"/>
    <w:rsid w:val="009019D6"/>
    <w:rsid w:val="00927C1F"/>
    <w:rsid w:val="009336D1"/>
    <w:rsid w:val="00950F18"/>
    <w:rsid w:val="00956E14"/>
    <w:rsid w:val="00975917"/>
    <w:rsid w:val="009B3D04"/>
    <w:rsid w:val="009E6D43"/>
    <w:rsid w:val="00A13BE4"/>
    <w:rsid w:val="00A37DCC"/>
    <w:rsid w:val="00A37E44"/>
    <w:rsid w:val="00A474E1"/>
    <w:rsid w:val="00AD51B5"/>
    <w:rsid w:val="00AD7027"/>
    <w:rsid w:val="00B64576"/>
    <w:rsid w:val="00B657D7"/>
    <w:rsid w:val="00BA7FDD"/>
    <w:rsid w:val="00BD65D3"/>
    <w:rsid w:val="00BF6A3A"/>
    <w:rsid w:val="00C27B3B"/>
    <w:rsid w:val="00C535B6"/>
    <w:rsid w:val="00C667CC"/>
    <w:rsid w:val="00C82B96"/>
    <w:rsid w:val="00D4027F"/>
    <w:rsid w:val="00D414EF"/>
    <w:rsid w:val="00D44738"/>
    <w:rsid w:val="00DE52B2"/>
    <w:rsid w:val="00E139FA"/>
    <w:rsid w:val="00E51925"/>
    <w:rsid w:val="00E8236B"/>
    <w:rsid w:val="00EF7CDB"/>
    <w:rsid w:val="00F558CC"/>
    <w:rsid w:val="00F62A5D"/>
    <w:rsid w:val="00FA2C31"/>
    <w:rsid w:val="00FA61EE"/>
    <w:rsid w:val="00FC067F"/>
    <w:rsid w:val="00FD21FD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2A8F6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80"/>
  </w:style>
  <w:style w:type="paragraph" w:styleId="Footer">
    <w:name w:val="footer"/>
    <w:basedOn w:val="Normal"/>
    <w:link w:val="FooterChar"/>
    <w:uiPriority w:val="99"/>
    <w:unhideWhenUsed/>
    <w:rsid w:val="0022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80"/>
  </w:style>
  <w:style w:type="paragraph" w:styleId="ListParagraph">
    <w:name w:val="List Paragraph"/>
    <w:basedOn w:val="Normal"/>
    <w:uiPriority w:val="34"/>
    <w:qFormat/>
    <w:rsid w:val="002258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2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880"/>
  </w:style>
  <w:style w:type="paragraph" w:styleId="Footer">
    <w:name w:val="footer"/>
    <w:basedOn w:val="Normal"/>
    <w:link w:val="FooterChar"/>
    <w:uiPriority w:val="99"/>
    <w:unhideWhenUsed/>
    <w:rsid w:val="00225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880"/>
  </w:style>
  <w:style w:type="paragraph" w:styleId="ListParagraph">
    <w:name w:val="List Paragraph"/>
    <w:basedOn w:val="Normal"/>
    <w:uiPriority w:val="34"/>
    <w:qFormat/>
    <w:rsid w:val="00225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48C8C9F7F87469F5EB2C72721C136" ma:contentTypeVersion="12" ma:contentTypeDescription="Create a new document." ma:contentTypeScope="" ma:versionID="6e4d145a2d1141a7ba5606267a968037">
  <xsd:schema xmlns:xsd="http://www.w3.org/2001/XMLSchema" xmlns:xs="http://www.w3.org/2001/XMLSchema" xmlns:p="http://schemas.microsoft.com/office/2006/metadata/properties" xmlns:ns2="a3cc703a-aceb-4777-8b86-e366c28c0458" xmlns:ns3="9efdbc66-0357-4673-8f93-ee198bb3a63e" targetNamespace="http://schemas.microsoft.com/office/2006/metadata/properties" ma:root="true" ma:fieldsID="158ab0aa414b6019fa0d6b81166aefcb" ns2:_="" ns3:_="">
    <xsd:import namespace="a3cc703a-aceb-4777-8b86-e366c28c0458"/>
    <xsd:import namespace="9efdbc66-0357-4673-8f93-ee198bb3a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703a-aceb-4777-8b86-e366c28c04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bc66-0357-4673-8f93-ee198bb3a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B8AF1-048F-4C20-A39D-26BB625F9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B9CA2-9F25-4112-AEBB-32D761095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EC8B3A-DBFC-4885-B175-CA058FBBE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703a-aceb-4777-8b86-e366c28c0458"/>
    <ds:schemaRef ds:uri="9efdbc66-0357-4673-8f93-ee198bb3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B46B69-6BEE-8444-A0BD-651F17870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763</Words>
  <Characters>4355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Chizoba R. Nwosu</dc:creator>
  <cp:keywords/>
  <dc:description/>
  <cp:lastModifiedBy>Stephen Lau</cp:lastModifiedBy>
  <cp:revision>2</cp:revision>
  <cp:lastPrinted>2019-07-11T18:16:00Z</cp:lastPrinted>
  <dcterms:created xsi:type="dcterms:W3CDTF">2019-10-30T01:02:00Z</dcterms:created>
  <dcterms:modified xsi:type="dcterms:W3CDTF">2019-10-30T01:02:00Z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0x01010086848C8C9F7F87469F5EB2C72721C136</vt:lpwstr>
  </property>
</Properties>
</file>